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9FEC8">
      <w:pPr>
        <w:spacing w:after="0" w:line="240" w:lineRule="atLeast"/>
        <w:jc w:val="center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ОТЧЕТ О ХОДЕ РЕАЛИЗАЦИИ МУНИЦИПАЛЬНОЙ ПРОГРАММЫ И ОБ ОЦЕНКЕ ЭФФЕКТИВНОСТИ РЕАЛИЗАЦИИ НА ТЕРРИТОРИИ СЕЛЬСКОГО ПОСЕЛЕНИЯ СУМОН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БОРА-ТАЙГА СУТ-ХОЛЬСКОГО КОЖУУНА РТ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ЗА 202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г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.</w:t>
      </w:r>
    </w:p>
    <w:p w14:paraId="3174B597">
      <w:pPr>
        <w:spacing w:before="195" w:after="0" w:line="240" w:lineRule="atLeas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 ОБЩИЕ СВЕДЕНИЯ</w:t>
      </w:r>
    </w:p>
    <w:p w14:paraId="5C706605">
      <w:pPr>
        <w:spacing w:before="195" w:after="0" w:line="240" w:lineRule="atLeast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Оценка эффективности реализации муниципальных программ за 202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год проведена в соответствии с требованиями к оценке эффективности реализации муниципальных программ,  их формирования, реализации и проведения   оценки эффективности реализации муниципальных программ  (далее – Порядок).</w:t>
      </w:r>
    </w:p>
    <w:p w14:paraId="543A8F31">
      <w:pPr>
        <w:spacing w:before="195" w:after="0" w:line="240" w:lineRule="atLeast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 202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году на территории сельского поселения сумон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Бора-Тайга Сут-Хольского кожууна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реализовывались следующая муниципальная программа:</w:t>
      </w:r>
    </w:p>
    <w:p w14:paraId="2A76F3F8">
      <w:pPr>
        <w:ind w:firstLine="708" w:firstLineChars="0"/>
        <w:jc w:val="both"/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1. Муниципальная программа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«Профилактика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правонарушений в сельском  поселении сумон Бора-Тайгинский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Сут-Хольского кожууна РТ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на 20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-2024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годы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.</w:t>
      </w:r>
    </w:p>
    <w:p w14:paraId="15F64D00">
      <w:pPr>
        <w:spacing w:before="195" w:after="195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Финансирование программ</w:t>
      </w:r>
    </w:p>
    <w:p w14:paraId="013B08AA">
      <w:pPr>
        <w:spacing w:before="195" w:after="195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Бюджетные ассигнования в 202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году были предусмотрены на реализацию 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муниципальной программы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утвержденный.</w:t>
      </w:r>
    </w:p>
    <w:p w14:paraId="622CC5F3">
      <w:pPr>
        <w:spacing w:before="195" w:after="0" w:line="240" w:lineRule="atLeast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Фактически в 202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году из средств бюджета сельского поселения профинансировано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муниципальных программы на сумму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1,0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тыс. рублей.</w:t>
      </w:r>
    </w:p>
    <w:p w14:paraId="49F40F9A">
      <w:pPr>
        <w:spacing w:before="195" w:after="195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Оценка эффективности программ</w:t>
      </w:r>
    </w:p>
    <w:p w14:paraId="21BA9360">
      <w:pPr>
        <w:spacing w:before="195" w:after="0" w:line="240" w:lineRule="atLeast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14:paraId="2BA36A25">
      <w:pPr>
        <w:spacing w:before="195" w:after="195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Порядком определены 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категории муниципальных программ с точки зрения эффективности их реализации:</w:t>
      </w:r>
    </w:p>
    <w:p w14:paraId="6082A5D8">
      <w:pPr>
        <w:spacing w:before="195" w:after="0" w:line="240" w:lineRule="atLeast"/>
        <w:ind w:firstLine="53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эффективность реализации муниципальной программы признается с высоким уровнем эффективности если комплексная оценка составляет 95 процентов и более процентов;</w:t>
      </w:r>
    </w:p>
    <w:p w14:paraId="11A7F7F2">
      <w:pPr>
        <w:spacing w:before="195" w:after="0" w:line="240" w:lineRule="atLeast"/>
        <w:ind w:firstLine="53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эффективность реализации муниципальной программы считается реализуемой с удовлетворительным уровнем эффективности, если комплексная оценка находится в интервале от 80%до 95%;</w:t>
      </w:r>
    </w:p>
    <w:p w14:paraId="078E9871">
      <w:pPr>
        <w:spacing w:before="195" w:after="0" w:line="240" w:lineRule="atLeast"/>
        <w:ind w:firstLine="53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если реализации муниципальной программы не отвечает приведенным выше диапазонам значений, уровень эффективности ее реализации признается неудовлетворительной;</w:t>
      </w:r>
    </w:p>
    <w:p w14:paraId="58D80949">
      <w:pPr>
        <w:spacing w:before="195" w:after="195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 целом по итогам отчетного периода эффективность реализации        программ признана высокой  100% от общего количества.</w:t>
      </w:r>
    </w:p>
    <w:p w14:paraId="68F7F236">
      <w:pPr>
        <w:spacing w:before="195" w:after="0" w:line="240" w:lineRule="atLeast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2. ИНФОРМАЦИЯ О ХОДЕ РЕАЛИЗАЦИИ МУНИЦИПАЛЬНЫХ ПРОГРАММ В 202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ГОДУ</w:t>
      </w:r>
    </w:p>
    <w:p w14:paraId="3FB0A3F9">
      <w:pPr>
        <w:spacing w:before="195" w:after="0" w:line="240" w:lineRule="atLeast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2.1 Муниципальная программа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«Профилактика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правонарушений в сельском  поселении сумон Бора-Тайгинский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Сут-Хольского кожууна РТ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на 20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-2024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годы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 w14:paraId="796D4AAE">
      <w:pPr>
        <w:spacing w:before="195" w:after="0" w:line="240" w:lineRule="atLeast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Утверждена: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постановлением администрации (исполнительно-распорядительным органом)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сумон Бора-Тайга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от 30.03.2018года №19.</w:t>
      </w:r>
    </w:p>
    <w:p w14:paraId="2275DC5E">
      <w:pPr>
        <w:spacing w:before="195" w:after="0" w:line="240" w:lineRule="atLeast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Внесенные изменения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: изменения не вносились.</w:t>
      </w:r>
    </w:p>
    <w:p w14:paraId="09E0B022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Исполнитель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: администрация (исполнительно-распорядительный орган) сельского поселения сумон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Бора-Тайга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.</w:t>
      </w:r>
    </w:p>
    <w:p w14:paraId="4C2D8C37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Цель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уровня внешнего благоустройства,  общественных территорий на территории сельского поселения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.</w:t>
      </w:r>
    </w:p>
    <w:p w14:paraId="19D4C99A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Задачи программы: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Увеличение доли благоустроенных общественных пространств на территории сельского поселения, а также </w:t>
      </w:r>
      <w:r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территорий общего пользования сельского поселения «Поселок Бетлица».</w:t>
      </w:r>
    </w:p>
    <w:p w14:paraId="2D4A7815">
      <w:pPr>
        <w:spacing w:before="195" w:after="0" w:line="240" w:lineRule="atLeast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Финансирование программы: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На реализацию программы в бюджете  сельского поселения на 2023 год было предусмотрено 2249,8 тыс. рублей, из них федеральные и областные средства в сумме 2182,0тыс.руб.</w:t>
      </w:r>
    </w:p>
    <w:p w14:paraId="24209A09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Выполнение целевых показателей:</w:t>
      </w:r>
    </w:p>
    <w:tbl>
      <w:tblPr>
        <w:tblStyle w:val="3"/>
        <w:tblW w:w="9165" w:type="dxa"/>
        <w:jc w:val="cente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30"/>
        <w:gridCol w:w="3148"/>
        <w:gridCol w:w="1657"/>
        <w:gridCol w:w="825"/>
        <w:gridCol w:w="830"/>
        <w:gridCol w:w="1775"/>
      </w:tblGrid>
      <w:tr w14:paraId="706DCE1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255AF0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1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566B872">
            <w:pPr>
              <w:spacing w:before="195" w:after="0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  <w:p w14:paraId="02170641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целевого показателя</w:t>
            </w:r>
          </w:p>
        </w:tc>
        <w:tc>
          <w:tcPr>
            <w:tcW w:w="16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F00C384">
            <w:pPr>
              <w:spacing w:before="195" w:after="0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Единица</w:t>
            </w:r>
          </w:p>
          <w:p w14:paraId="3D635126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измерения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99FF6E3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План</w:t>
            </w:r>
          </w:p>
          <w:p w14:paraId="3BDE85D9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369E73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Факт</w:t>
            </w:r>
          </w:p>
          <w:p w14:paraId="28110664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271204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отклонение</w:t>
            </w:r>
          </w:p>
        </w:tc>
      </w:tr>
      <w:tr w14:paraId="03BADBA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92D962">
            <w:pPr>
              <w:spacing w:after="0" w:line="341" w:lineRule="atLeas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9FD22">
            <w:pPr>
              <w:spacing w:after="0" w:line="341" w:lineRule="atLeas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7DDDA0">
            <w:pPr>
              <w:spacing w:after="0" w:line="341" w:lineRule="atLeas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FFAAB0B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0CA04">
            <w:pPr>
              <w:spacing w:after="0" w:line="341" w:lineRule="atLeast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E79A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5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99A78E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D6247FC">
            <w:pPr>
              <w:spacing w:before="195" w:after="195" w:line="341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изготовление баннера для профилактики алкоголизма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DFA9BB">
            <w:pPr>
              <w:spacing w:before="195" w:after="195" w:line="341" w:lineRule="atLeas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тыс.рублей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A621B9">
            <w:pPr>
              <w:spacing w:before="195" w:after="195" w:line="341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3B87039">
            <w:pPr>
              <w:spacing w:before="195" w:after="195" w:line="341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33D9EF">
            <w:pPr>
              <w:spacing w:before="195" w:after="195" w:line="341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B3DD593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 Оценка степени достижения цели. решения задачи муниципальной программы 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CeI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):</w:t>
      </w:r>
    </w:p>
    <w:p w14:paraId="52F35277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 C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EI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= 1\1 =1</w:t>
      </w:r>
    </w:p>
    <w:p w14:paraId="65923129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2. Степень соответствия запланированному уровню затрат и эффективности использования средств областного и местного бюджета муниципальной программы (Fin):</w:t>
      </w:r>
    </w:p>
    <w:p w14:paraId="4B09573E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Fin =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1,0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1,0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х100%=100%</w:t>
      </w:r>
    </w:p>
    <w:p w14:paraId="7315943D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3.Оценка степени реализации контрольных мероприятий программы (Ме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):</w:t>
      </w:r>
    </w:p>
    <w:p w14:paraId="5E0930E4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= 1\1х100%=100%</w:t>
      </w:r>
    </w:p>
    <w:p w14:paraId="1063252C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4.Комплексная оценка эффективности реализации программы(О):</w:t>
      </w:r>
    </w:p>
    <w:p w14:paraId="200C1E7B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Оэрп =1 х100% х100%=100%</w:t>
      </w:r>
    </w:p>
    <w:p w14:paraId="12644750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Эффективность реализации муниципальной программы – высокая.</w:t>
      </w:r>
    </w:p>
    <w:p w14:paraId="538E5AB7">
      <w:pPr>
        <w:spacing w:before="195" w:after="0" w:line="240" w:lineRule="atLeast"/>
        <w:ind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B1E9D29">
      <w:pPr>
        <w:spacing w:before="195" w:after="0" w:line="240" w:lineRule="atLeast"/>
        <w:ind w:firstLine="567"/>
        <w:rPr>
          <w:rFonts w:ascii="Arial" w:hAnsi="Arial" w:eastAsia="Times New Roman" w:cs="Arial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A265ED5">
      <w:pPr>
        <w:spacing w:before="195" w:after="0" w:line="240" w:lineRule="atLeast"/>
        <w:ind w:firstLine="567"/>
        <w:rPr>
          <w:rFonts w:ascii="Arial" w:hAnsi="Arial" w:eastAsia="Times New Roman" w:cs="Arial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272B179">
      <w:pPr>
        <w:spacing w:before="195" w:after="0" w:line="240" w:lineRule="atLeast"/>
        <w:ind w:firstLine="567"/>
        <w:rPr>
          <w:rFonts w:ascii="Verdana" w:hAnsi="Verdana" w:eastAsia="Times New Roman" w:cs="Arial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39D607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2A"/>
    <w:rsid w:val="00012D14"/>
    <w:rsid w:val="000200B6"/>
    <w:rsid w:val="000402C1"/>
    <w:rsid w:val="00041121"/>
    <w:rsid w:val="00060620"/>
    <w:rsid w:val="00081FAF"/>
    <w:rsid w:val="00084A73"/>
    <w:rsid w:val="000B773B"/>
    <w:rsid w:val="000F3112"/>
    <w:rsid w:val="00113BEF"/>
    <w:rsid w:val="00124699"/>
    <w:rsid w:val="0017002B"/>
    <w:rsid w:val="001A093F"/>
    <w:rsid w:val="001A459A"/>
    <w:rsid w:val="001D0805"/>
    <w:rsid w:val="001D1868"/>
    <w:rsid w:val="001D530C"/>
    <w:rsid w:val="001F06DC"/>
    <w:rsid w:val="00212BF2"/>
    <w:rsid w:val="00222F68"/>
    <w:rsid w:val="00224670"/>
    <w:rsid w:val="00266125"/>
    <w:rsid w:val="002705E8"/>
    <w:rsid w:val="002A1D80"/>
    <w:rsid w:val="002F109B"/>
    <w:rsid w:val="00316AC5"/>
    <w:rsid w:val="003303CB"/>
    <w:rsid w:val="003509C6"/>
    <w:rsid w:val="00371396"/>
    <w:rsid w:val="00373646"/>
    <w:rsid w:val="003A3A38"/>
    <w:rsid w:val="003C24E8"/>
    <w:rsid w:val="003E6B0A"/>
    <w:rsid w:val="003E7A90"/>
    <w:rsid w:val="003F4793"/>
    <w:rsid w:val="00400BFC"/>
    <w:rsid w:val="00404D27"/>
    <w:rsid w:val="004152F1"/>
    <w:rsid w:val="00437486"/>
    <w:rsid w:val="00447C6B"/>
    <w:rsid w:val="004610C6"/>
    <w:rsid w:val="00463C25"/>
    <w:rsid w:val="004976E6"/>
    <w:rsid w:val="004C062C"/>
    <w:rsid w:val="004C6F81"/>
    <w:rsid w:val="004E496D"/>
    <w:rsid w:val="004E5F72"/>
    <w:rsid w:val="004F09FA"/>
    <w:rsid w:val="004F0B50"/>
    <w:rsid w:val="00500BC5"/>
    <w:rsid w:val="0050233E"/>
    <w:rsid w:val="005130B7"/>
    <w:rsid w:val="00565326"/>
    <w:rsid w:val="00571176"/>
    <w:rsid w:val="00572A1C"/>
    <w:rsid w:val="005875AE"/>
    <w:rsid w:val="005D4446"/>
    <w:rsid w:val="005E15B0"/>
    <w:rsid w:val="00606255"/>
    <w:rsid w:val="006229DA"/>
    <w:rsid w:val="006263C3"/>
    <w:rsid w:val="00634702"/>
    <w:rsid w:val="00652FBA"/>
    <w:rsid w:val="00666504"/>
    <w:rsid w:val="0067400D"/>
    <w:rsid w:val="006A6B23"/>
    <w:rsid w:val="006B2BA4"/>
    <w:rsid w:val="006C7D37"/>
    <w:rsid w:val="006D4EB6"/>
    <w:rsid w:val="006F4169"/>
    <w:rsid w:val="00701B60"/>
    <w:rsid w:val="00725622"/>
    <w:rsid w:val="00731804"/>
    <w:rsid w:val="00735A72"/>
    <w:rsid w:val="0075052A"/>
    <w:rsid w:val="00750FDA"/>
    <w:rsid w:val="007A7239"/>
    <w:rsid w:val="007C16C9"/>
    <w:rsid w:val="007C7FB9"/>
    <w:rsid w:val="007D0576"/>
    <w:rsid w:val="00801450"/>
    <w:rsid w:val="00840A4D"/>
    <w:rsid w:val="00841024"/>
    <w:rsid w:val="008422E5"/>
    <w:rsid w:val="00852579"/>
    <w:rsid w:val="00885DA0"/>
    <w:rsid w:val="008B6BBA"/>
    <w:rsid w:val="008E31CD"/>
    <w:rsid w:val="008F46AB"/>
    <w:rsid w:val="00901351"/>
    <w:rsid w:val="00901D5D"/>
    <w:rsid w:val="009228D8"/>
    <w:rsid w:val="009255E1"/>
    <w:rsid w:val="009730D4"/>
    <w:rsid w:val="009860EA"/>
    <w:rsid w:val="00995C74"/>
    <w:rsid w:val="009B2135"/>
    <w:rsid w:val="009D1A79"/>
    <w:rsid w:val="009D60F8"/>
    <w:rsid w:val="00A41A7D"/>
    <w:rsid w:val="00A6117B"/>
    <w:rsid w:val="00A6473E"/>
    <w:rsid w:val="00A960F2"/>
    <w:rsid w:val="00AA1A3A"/>
    <w:rsid w:val="00AA2681"/>
    <w:rsid w:val="00AE7C56"/>
    <w:rsid w:val="00AF417C"/>
    <w:rsid w:val="00AF4A7D"/>
    <w:rsid w:val="00B053E8"/>
    <w:rsid w:val="00B116B8"/>
    <w:rsid w:val="00B173F2"/>
    <w:rsid w:val="00B30971"/>
    <w:rsid w:val="00B41999"/>
    <w:rsid w:val="00B52F19"/>
    <w:rsid w:val="00B860EF"/>
    <w:rsid w:val="00B92AE0"/>
    <w:rsid w:val="00B9445C"/>
    <w:rsid w:val="00BC0F76"/>
    <w:rsid w:val="00BC3F42"/>
    <w:rsid w:val="00BD0113"/>
    <w:rsid w:val="00C132EE"/>
    <w:rsid w:val="00C6274A"/>
    <w:rsid w:val="00C646F8"/>
    <w:rsid w:val="00C76FF6"/>
    <w:rsid w:val="00C771F7"/>
    <w:rsid w:val="00C97AE5"/>
    <w:rsid w:val="00CA289A"/>
    <w:rsid w:val="00CB0871"/>
    <w:rsid w:val="00CB619C"/>
    <w:rsid w:val="00CD4419"/>
    <w:rsid w:val="00CE5E80"/>
    <w:rsid w:val="00CF1AD1"/>
    <w:rsid w:val="00D14322"/>
    <w:rsid w:val="00D17C66"/>
    <w:rsid w:val="00D2231F"/>
    <w:rsid w:val="00D4345B"/>
    <w:rsid w:val="00DA60BC"/>
    <w:rsid w:val="00DB1B88"/>
    <w:rsid w:val="00DC23BB"/>
    <w:rsid w:val="00DD39F1"/>
    <w:rsid w:val="00DE5100"/>
    <w:rsid w:val="00DE5BAC"/>
    <w:rsid w:val="00DE7DB2"/>
    <w:rsid w:val="00E31F3F"/>
    <w:rsid w:val="00E43CCC"/>
    <w:rsid w:val="00E63120"/>
    <w:rsid w:val="00E812B6"/>
    <w:rsid w:val="00EA03A6"/>
    <w:rsid w:val="00ED6D6B"/>
    <w:rsid w:val="00EF57F9"/>
    <w:rsid w:val="00F00EF6"/>
    <w:rsid w:val="00F05E60"/>
    <w:rsid w:val="00F25557"/>
    <w:rsid w:val="00F77B28"/>
    <w:rsid w:val="00F80419"/>
    <w:rsid w:val="00FC1575"/>
    <w:rsid w:val="00FF1A38"/>
    <w:rsid w:val="143C5E20"/>
    <w:rsid w:val="2CF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6">
    <w:name w:val="ConsPlu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11C4-2EA9-4217-AFF0-A342F3474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2912</Words>
  <Characters>16604</Characters>
  <Lines>138</Lines>
  <Paragraphs>38</Paragraphs>
  <TotalTime>16</TotalTime>
  <ScaleCrop>false</ScaleCrop>
  <LinksUpToDate>false</LinksUpToDate>
  <CharactersWithSpaces>19478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2022-01-24T05:55:00Z</dcterms:created>
  <dc:creator>User</dc:creator>
  <cp:lastModifiedBy>1395358</cp:lastModifiedBy>
  <cp:lastPrinted>2024-01-16T09:35:00Z</cp:lastPrinted>
  <dcterms:modified xsi:type="dcterms:W3CDTF">2025-06-05T07:49:35Z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E2802418ED054716B6EFF13DCDD016F5_12</vt:lpwstr>
  </property>
</Properties>
</file>