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0CF99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eastAsia="Times New Roman" w:cs="Times New Roman"/>
          <w:b/>
          <w:sz w:val="28"/>
          <w:szCs w:val="28"/>
        </w:rPr>
        <w:t>Информация по исполнению бюджета</w:t>
      </w:r>
    </w:p>
    <w:p w14:paraId="42DA3868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муниципального района «Сут-Хольский кожуун</w:t>
      </w:r>
    </w:p>
    <w:p w14:paraId="2AA4BA51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Республики Тыва»</w:t>
      </w:r>
    </w:p>
    <w:p w14:paraId="0D220CF9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за 1 полугодие 2025 года</w:t>
      </w:r>
    </w:p>
    <w:p w14:paraId="3BDA4385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20829782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ДОХОДНАЯ ЧАСТЬ</w:t>
      </w:r>
    </w:p>
    <w:p w14:paraId="4904AD8A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5CCBC8A4">
      <w:pPr>
        <w:pStyle w:val="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Консолидированный бюджет муниципального района Сут-Хольский кожуун РТ за январь-июнь 2025 года исполнен по доходной части бюджета в сумме 488852,7 тыс. рублей, из них налоговые и неналоговые доходы консолидированного бюджета Сут-Хольского кожууна  Республики Тыва на 01 июля 2025 года поступили в объеме 38324,0 тыс. рублей</w:t>
      </w:r>
    </w:p>
    <w:p w14:paraId="44CAAB65">
      <w:pPr>
        <w:pStyle w:val="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Плановые назначения налоговых и неналоговых доходов консолидированного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Сут-Хольсмкогокожууна</w:t>
      </w:r>
      <w:r>
        <w:rPr>
          <w:rFonts w:ascii="Times New Roman" w:hAnsi="Times New Roman" w:cs="Times New Roman"/>
          <w:sz w:val="28"/>
          <w:szCs w:val="28"/>
        </w:rPr>
        <w:t>на 2025 год запланированы в сумме 86088,0 тыс. рублей с увеличением к уровню факта 2024 года на 17% (+13038,0 тыс. рублей).</w:t>
      </w:r>
    </w:p>
    <w:p w14:paraId="34DE79E2">
      <w:pPr>
        <w:pStyle w:val="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01.07.2025 г. налоговые и неналоговые доходы исполнены на 38324,0 тыс. рублей, при плане на январь-июнь 38 233,0 тыс. рублей выполнение плана составило100,2 %, по сравнению с аналогичным периодом прошлого года наблюдается рост на 23% (+7216,0 тыс. рублей). Годовой план исполнен на 45%.</w:t>
      </w:r>
    </w:p>
    <w:p w14:paraId="5C5DF33C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Выполнение плана на 01.07.2025 года в разрезе доходных источников выглядит следующим образом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F782108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 по налогу на доходы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 поступило 24 919,0 тыс. рублей, при плане на январь-июнь24 917,0 тыс. рублей выполнение плана составило100 %.Годовой план исполнен на43 %. По сравнению с АППГ наблюдается рост на31 % (+5855,0 тыс. рублей).Основной причиной перевыполнения является, погашение недоимки в МБ ГБУЗ «Сут-Хольский кожбольницей РТ» 2282,0 тыс. рублей; </w:t>
      </w:r>
    </w:p>
    <w:p w14:paraId="664B9891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 по акцизам на нефтепродукты</w:t>
      </w:r>
      <w:r>
        <w:rPr>
          <w:rFonts w:ascii="Times New Roman" w:hAnsi="Times New Roman" w:cs="Times New Roman"/>
          <w:sz w:val="28"/>
          <w:szCs w:val="28"/>
        </w:rPr>
        <w:t xml:space="preserve"> поступило 6456,0 тыс. рублей, выполнение плана составило 100%. Годовой план исполнен на41 %. По сравнению с АППГ наблюдается снижение на 8% (-534,0 тыс. рублей).Причина снижения является поступление, которое предусмотрено в июне поступило в июле месяце текущего года;</w:t>
      </w:r>
    </w:p>
    <w:p w14:paraId="310EE43F">
      <w:pPr>
        <w:ind w:firstLine="709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по упрощенной системе налогообложения </w:t>
      </w:r>
      <w:r>
        <w:rPr>
          <w:rFonts w:ascii="Times New Roman" w:hAnsi="Times New Roman" w:cs="Times New Roman"/>
          <w:sz w:val="28"/>
          <w:szCs w:val="28"/>
        </w:rPr>
        <w:t xml:space="preserve">поступило 1172,0 тыс. рублей, при плане1172,0 тыс. рублей или 100%,в связи с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активацией экономической деятельности хозяйствующих субъектов;</w:t>
      </w:r>
    </w:p>
    <w:p w14:paraId="116584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по земельному налогу </w:t>
      </w:r>
      <w:r>
        <w:rPr>
          <w:rFonts w:ascii="Times New Roman" w:hAnsi="Times New Roman" w:cs="Times New Roman"/>
          <w:sz w:val="28"/>
          <w:szCs w:val="28"/>
        </w:rPr>
        <w:t xml:space="preserve">поступило 298,0 тыс. рублей, выполнение плана составило 62%, в связи с увеличением задолженности по страховым взносам бюджетных учреждений кожууна-23112,0 тыс. рублей, у некоторых учреждений расчетные счета закрыты (РНО), поэтому не профинансированы   предусмотренные суммы по заявкам. Годовой план исполнен на 24%. По сравнению с аналогичным периодом прошлого года наблюдается снижение на17 % (-61,0 тыс. рублей) в связи не до поступления недоимки от юр. физ. лиц; </w:t>
      </w:r>
    </w:p>
    <w:p w14:paraId="1BEE4877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iCs/>
          <w:sz w:val="28"/>
          <w:szCs w:val="28"/>
        </w:rPr>
        <w:t>по налогу, взимаемому в связи с применением патентной системы налогообложения,</w:t>
      </w:r>
      <w:r>
        <w:rPr>
          <w:rFonts w:ascii="Times New Roman" w:hAnsi="Times New Roman" w:cs="Times New Roman"/>
          <w:sz w:val="28"/>
          <w:szCs w:val="28"/>
        </w:rPr>
        <w:t xml:space="preserve"> поступило 381,0 тыс. рублей или исполнение плана составило на 107%, по сравнению с АППГ рост на 9% или на +34,0 тыс. рублей,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 в связи </w:t>
      </w:r>
      <w:r>
        <w:rPr>
          <w:rFonts w:ascii="Times New Roman" w:hAnsi="Times New Roman" w:cs="Times New Roman"/>
          <w:sz w:val="28"/>
          <w:szCs w:val="28"/>
        </w:rPr>
        <w:t xml:space="preserve">с индексацией потенциального возможного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годового </w:t>
      </w:r>
      <w:r>
        <w:rPr>
          <w:rFonts w:ascii="Times New Roman" w:hAnsi="Times New Roman" w:cs="Times New Roman"/>
          <w:sz w:val="28"/>
          <w:szCs w:val="28"/>
        </w:rPr>
        <w:t xml:space="preserve">дохода </w:t>
      </w:r>
      <w:r>
        <w:rPr>
          <w:rFonts w:ascii="Times New Roman" w:hAnsi="Times New Roman" w:cs="Times New Roman"/>
          <w:color w:val="1C1C1C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уровень инфляции и  переходом 3 плательщика на данный режим налогообложения.</w:t>
      </w:r>
    </w:p>
    <w:p w14:paraId="3C82F52C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iCs/>
          <w:sz w:val="28"/>
          <w:szCs w:val="28"/>
        </w:rPr>
        <w:t>по единому сельскохозяйственному налогу</w:t>
      </w:r>
      <w:r>
        <w:rPr>
          <w:rFonts w:ascii="Times New Roman" w:hAnsi="Times New Roman" w:cs="Times New Roman"/>
          <w:sz w:val="28"/>
          <w:szCs w:val="28"/>
        </w:rPr>
        <w:t xml:space="preserve"> поступило 247,0 тыс. рублей, план за январь-июньвыполнен на 112% (+27,0 тыс. рублей), в связи с поступлением недоимки (по состоянию на 01.06.2025 г недоимка 66,0 тыс. рублей); По сравнению с АППГ наблюдается рост на (+122,0 тыс. рублей)</w:t>
      </w:r>
      <w:bookmarkStart w:id="0" w:name="_Hlk197528432"/>
      <w:r>
        <w:rPr>
          <w:rFonts w:ascii="Times New Roman" w:hAnsi="Times New Roman" w:cs="Times New Roman"/>
          <w:sz w:val="28"/>
          <w:szCs w:val="28"/>
        </w:rPr>
        <w:t>;</w:t>
      </w:r>
    </w:p>
    <w:bookmarkEnd w:id="0"/>
    <w:p w14:paraId="2B6C2AEF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iCs/>
          <w:sz w:val="28"/>
          <w:szCs w:val="28"/>
        </w:rPr>
        <w:t>по налогу на имущество физических лиц</w:t>
      </w:r>
      <w:r>
        <w:rPr>
          <w:rFonts w:ascii="Times New Roman" w:hAnsi="Times New Roman" w:cs="Times New Roman"/>
          <w:sz w:val="28"/>
          <w:szCs w:val="28"/>
        </w:rPr>
        <w:t>поступило 72,0 тыс. рублей или план исполнен на 103%, в связи с погашением недоимка прошлых лет с физических лиц.  По сравнению с аналогичным периодом прошлого года произошел снижение на 11% (факт 2024 г 81,0 тыс. рублей) - 9,0тыс. рублей;</w:t>
      </w:r>
    </w:p>
    <w:p w14:paraId="1653100F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iCs/>
          <w:sz w:val="28"/>
          <w:szCs w:val="28"/>
        </w:rPr>
        <w:t>по налогу на имущество организаций</w:t>
      </w:r>
      <w:r>
        <w:rPr>
          <w:rFonts w:ascii="Times New Roman" w:hAnsi="Times New Roman" w:cs="Times New Roman"/>
          <w:sz w:val="28"/>
          <w:szCs w:val="28"/>
        </w:rPr>
        <w:t>поступило 435,0 тыс. рублей или исполнение плана составило на 100%, по сравнению с АППГ рост на (+10,0 тыс. рублей), в связи с поступлением недоимки прошлых лет;</w:t>
      </w:r>
    </w:p>
    <w:p w14:paraId="303D5EED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 государственной пошлине </w:t>
      </w:r>
      <w:r>
        <w:rPr>
          <w:rFonts w:ascii="Times New Roman" w:hAnsi="Times New Roman" w:cs="Times New Roman"/>
          <w:sz w:val="28"/>
          <w:szCs w:val="28"/>
        </w:rPr>
        <w:t xml:space="preserve">поступило 2658,0 тыс. рублей или план исполнен 112%. По сравнению с АППГ увеличение составило 204% или в сумме 1556,0 тыс. рублей.  Основной причиной простоя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 xml:space="preserve">вступление в силу ФЗ </w:t>
      </w:r>
      <w:r>
        <w:rPr>
          <w:rFonts w:ascii="Times New Roman" w:hAnsi="Times New Roman" w:cs="Times New Roman"/>
          <w:color w:val="161616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8августа 2024 </w:t>
      </w:r>
      <w:r>
        <w:rPr>
          <w:rFonts w:ascii="Times New Roman" w:hAnsi="Times New Roman" w:cs="Times New Roman"/>
          <w:color w:val="131313"/>
          <w:sz w:val="28"/>
          <w:szCs w:val="28"/>
        </w:rPr>
        <w:t xml:space="preserve">г. </w:t>
      </w:r>
      <w:r>
        <w:rPr>
          <w:rFonts w:ascii="Times New Roman" w:hAnsi="Times New Roman" w:cs="Times New Roman"/>
          <w:color w:val="1C1C1C"/>
          <w:sz w:val="28"/>
          <w:szCs w:val="28"/>
        </w:rPr>
        <w:t>N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259-ФЗ, 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которым </w:t>
      </w:r>
      <w:r>
        <w:rPr>
          <w:rFonts w:ascii="Times New Roman" w:hAnsi="Times New Roman" w:cs="Times New Roman"/>
          <w:sz w:val="28"/>
          <w:szCs w:val="28"/>
        </w:rPr>
        <w:t xml:space="preserve">были существенно повышены размеры госпошлин 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обращении 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судебные инстанции.</w:t>
      </w:r>
    </w:p>
    <w:p w14:paraId="48A4579B">
      <w:pPr>
        <w:pStyle w:val="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  <w:r>
        <w:rPr>
          <w:rFonts w:ascii="Times New Roman" w:hAnsi="Times New Roman" w:cs="Times New Roman"/>
          <w:sz w:val="28"/>
          <w:szCs w:val="28"/>
        </w:rPr>
        <w:t xml:space="preserve"> поступили в сумме 992,0 тыс. рублей, при плане 1135,0 тыс. рублей выполнение составило 87% (-143,0 тыс. рублей), в том числе:</w:t>
      </w:r>
    </w:p>
    <w:p w14:paraId="369913EE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Доходы от уплаты аренда земли исполнены на 98% при плане225,0 тыс. рублей, факт 220,0 тыс. рублей.  По сравнению с аналогичным периодом прошлого года снижение на29% факт 2025 г 220,0 тыс. рублей; факт 2024 год 309,0 тыс. рублей или меньше на 89,0 тыс. рублей,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в связи с неуплатой арендных платежей арендаторами, которые нарушают условия заключенного договора (15 лиц-237,0 тыс.рублей);</w:t>
      </w:r>
    </w:p>
    <w:p w14:paraId="5FBE1BEA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 доходам от использования сдачи имущества поступило 84,0 тыс. рублей при плане 155,0 тыс. рублей, выполнение составило 54% (-71,0 тыс. рублей). По сравнению уровню аналогичного периода прошлого года снижение на6 % (-5,0 тыс. рублей):</w:t>
      </w:r>
    </w:p>
    <w:p w14:paraId="651D129E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по платежам за негативное воздействие на окружающую среду поступило 111,0 тыс. рублей исполнение плана на 95%. По сравнению с аналогичным периодом прошлого года произошло снижение на63 % (факт за 6 мес. 2025 г 111,0 тыс. рублей; факт за 6 мес. 2024 г 301,0 тыс. рублей) снижение на190,0 тыс. рублей, из-за нехватки финансовых средств в кожууне не профинансированы заявки учреждений культуры по ПНВОС;</w:t>
      </w:r>
    </w:p>
    <w:p w14:paraId="6843913B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доходам от оказания платных услуг исполнены в сумме 27,0 тыс. рублей исполнение плана составило30%, или (-63,0 тыс. рублей), из-за необеспечения плановых заданий (справка): СПС Алдан-Маадыр (-7,0 тыс. рублей); СПС Ак-Даш (-2,0 тыс. рублей),  СПС Кара-Чыраа (-7,0 тыс. рублей) и СП Ишкин (-5,0 тыс. рублей).О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>тсутствием возвратов прошлых лет</w:t>
      </w:r>
      <w:r>
        <w:rPr>
          <w:rFonts w:ascii="Times New Roman" w:hAnsi="Times New Roman" w:cs="Times New Roman"/>
          <w:sz w:val="28"/>
          <w:szCs w:val="28"/>
        </w:rPr>
        <w:t xml:space="preserve"> и невыясненных платежей; </w:t>
      </w:r>
    </w:p>
    <w:p w14:paraId="5B37ECAF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доходам от продажи материальных и нематериальных активов поступило 20,0 тыс. рублей, при плане185,0 тыс. рублей исполнение плана на 11%.  В сравнении с АППГ отмечено снижение поступлений доходов на 76% или на -65,0 тыс. рублей; что связано с снижением количества обращений граждан на выкуп земельных участков;</w:t>
      </w:r>
    </w:p>
    <w:p w14:paraId="7AF7B359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штрафным санкциям поступило 264,0 тыс. рублей или план исполнен на 100%;</w:t>
      </w:r>
    </w:p>
    <w:p w14:paraId="396D057F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iCs/>
          <w:sz w:val="28"/>
          <w:szCs w:val="28"/>
          <w:lang w:eastAsia="en-US"/>
        </w:rPr>
        <w:t>-по прочим неналоговым доходам (самообложение) план не выполнен,</w:t>
      </w:r>
      <w:r>
        <w:rPr>
          <w:rFonts w:ascii="Times New Roman" w:hAnsi="Times New Roman" w:cs="Times New Roman"/>
          <w:sz w:val="28"/>
          <w:szCs w:val="28"/>
        </w:rPr>
        <w:t xml:space="preserve">из-за необеспечения плановых заданий по самообложению за январь-июнь: СПС Алдан-Маадыр, СПС Бора-Тайга, СПС Суг-Аксы, СП Кара-Чыраа; СП Кызыл-Тайга и СПС Ишкин. </w:t>
      </w:r>
    </w:p>
    <w:p w14:paraId="442A2184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</w:p>
    <w:p w14:paraId="416D54FC">
      <w:pPr>
        <w:pStyle w:val="4"/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Информация по собираемости и недоимке</w:t>
      </w:r>
    </w:p>
    <w:p w14:paraId="4E6B1ED7">
      <w:pPr>
        <w:pStyle w:val="4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03BEB788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налогоплательщиков по Сут-Хольскому кожууну физических лиц в 2024 год составляет 7889 единиц, с уменьшением на 0,5% по отношению к 2023 году (7933) или меньше 44 единиц. По количеству объектов налогообложения физических лиц в 2024 году начислено на 6055 объектов, что больше на 201 объектов, чем в 2023 году.</w:t>
      </w:r>
    </w:p>
    <w:p w14:paraId="0CEE9956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 состоянию на 01.07.2025 г поступление имущественных налогов  без транспортного налога (налог на имущество с физических лиц, земельный налог  физических лиц)  составило 213,0 тыс. рублей при   плане  в сумме 210,0 тыс. рублей процент уплаты с учетом задолженности составил 101%, с каждым годом увеличивается налоговая нагрузка (начисления), которые связаны с особенностями уплаты имущественных налогов:втом числе:</w:t>
      </w:r>
    </w:p>
    <w:p w14:paraId="5BDF1CFD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имущество физических лиц 72,0 тыс.рублей;</w:t>
      </w:r>
    </w:p>
    <w:p w14:paraId="5B0319B3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-земельный налог с физических лиц 141,0 тыс.рублей;</w:t>
      </w:r>
    </w:p>
    <w:p w14:paraId="0B2F2358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</w:p>
    <w:p w14:paraId="609E48AF">
      <w:pPr>
        <w:pStyle w:val="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Динамика состояния задолженности имущественных налогов показывает</w:t>
      </w:r>
      <w:r>
        <w:rPr>
          <w:rFonts w:ascii="Times New Roman" w:hAnsi="Times New Roman" w:cs="Times New Roman"/>
          <w:sz w:val="28"/>
          <w:szCs w:val="28"/>
        </w:rPr>
        <w:t>, по состоянию на 01.07.2025 года задолженность по имущественным налогам физических лиц составила 2180,0 тыс. рублей, в том числе по имущественному налогу 256,0 тыс. рублей или 12%, транспортному налогу 1448,0 тыс. рублей или 66%, земельному налогу 477,0 тыс. рублей или 22%. По сравнению с начала года снижение составило 1011,0 тыс. рублей или 32%.</w:t>
      </w:r>
    </w:p>
    <w:p w14:paraId="00BB9CCF">
      <w:pPr>
        <w:pStyle w:val="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 01.07.2025  года  наибольшую  сумму  снижения  задолженности  по</w:t>
      </w:r>
    </w:p>
    <w:p w14:paraId="6F81C7B0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имущественным налогам физических лиц обеспечил с. Суг-Аксы в размере 468,0 тыс. рублей или на 35%. А в двойке лидеров по процентному соотношению снижение обеспечило  с. Ишкин 27% и Алдан-Маадыр на 40%.</w:t>
      </w:r>
    </w:p>
    <w:p w14:paraId="1C383DC3">
      <w:pPr>
        <w:pStyle w:val="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начала года снижение задолженности по имущественным налогам работающего населения Сут-Хольского кожууна не исполнено на 100%.</w:t>
      </w:r>
    </w:p>
    <w:p w14:paraId="186810E2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анализа задолженности крупных налогоплательщиков острыми проблемами являются следующие критерии:</w:t>
      </w:r>
    </w:p>
    <w:p w14:paraId="3C0A4774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-низкий уровень доходности (безработные налогоплательщики);</w:t>
      </w:r>
    </w:p>
    <w:p w14:paraId="58337BDB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-отсутствие платежной дисциплины (несвоевременная уплата физическими лицами имущественных налогов);</w:t>
      </w:r>
    </w:p>
    <w:p w14:paraId="28D4A486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-осознанно уклоняется от уплаты налогов (работающее население).</w:t>
      </w:r>
    </w:p>
    <w:p w14:paraId="6A910FE3">
      <w:pPr>
        <w:pStyle w:val="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Сут-Хольском районе функционируют 54 бюджетных учреждений с 961 трудоустроенными работниками с общей начисленной суммой имущественных налогов физических лиц за 2024 год в размере 1100,0 тыс. рублей. </w:t>
      </w:r>
    </w:p>
    <w:p w14:paraId="26F7752E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 состоянию на 01.07.2025 г не исполнена обязанность по уплате имущественных налогов   17работниками на общую сумму 32,8 тыс. рублей в том числе: налог на имущество физических лиц 7,7 тыс. рублей; земельный налог с физических лиц 9,0 тыс. рублей и транспортный налог с физических лиц 16,1 тыс. рублей. </w:t>
      </w:r>
    </w:p>
    <w:p w14:paraId="220B302E">
      <w:pPr>
        <w:pStyle w:val="4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color w:val="080808"/>
          <w:spacing w:val="-2"/>
          <w:sz w:val="28"/>
          <w:szCs w:val="28"/>
        </w:rPr>
        <w:t xml:space="preserve">месячника </w:t>
      </w:r>
      <w:r>
        <w:rPr>
          <w:rFonts w:ascii="Times New Roman" w:hAnsi="Times New Roman" w:cs="Times New Roman"/>
          <w:color w:val="181818"/>
          <w:spacing w:val="-2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сбору </w:t>
      </w:r>
      <w:r>
        <w:rPr>
          <w:rFonts w:ascii="Times New Roman" w:hAnsi="Times New Roman" w:cs="Times New Roman"/>
          <w:color w:val="0A0A0A"/>
          <w:spacing w:val="-2"/>
          <w:sz w:val="28"/>
          <w:szCs w:val="28"/>
        </w:rPr>
        <w:t xml:space="preserve">имущественных </w:t>
      </w:r>
      <w:r>
        <w:rPr>
          <w:rFonts w:ascii="Times New Roman" w:hAnsi="Times New Roman" w:cs="Times New Roman"/>
          <w:color w:val="0F0F0F"/>
          <w:spacing w:val="-2"/>
          <w:sz w:val="28"/>
          <w:szCs w:val="28"/>
        </w:rPr>
        <w:t xml:space="preserve">налогов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физических лиц </w:t>
      </w:r>
      <w:r>
        <w:rPr>
          <w:rFonts w:ascii="Times New Roman" w:hAnsi="Times New Roman" w:cs="Times New Roman"/>
          <w:color w:val="161616"/>
          <w:spacing w:val="-2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2"/>
          <w:sz w:val="28"/>
          <w:szCs w:val="28"/>
        </w:rPr>
        <w:t>соответствии</w:t>
      </w:r>
      <w:r>
        <w:rPr>
          <w:rFonts w:ascii="Times New Roman" w:hAnsi="Times New Roman" w:cs="Times New Roman"/>
          <w:color w:val="111111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утверждённымРаспоряжением</w:t>
      </w:r>
      <w:r>
        <w:rPr>
          <w:rFonts w:ascii="Times New Roman" w:hAnsi="Times New Roman" w:cs="Times New Roman"/>
          <w:color w:val="080808"/>
          <w:spacing w:val="-2"/>
          <w:sz w:val="28"/>
          <w:szCs w:val="28"/>
        </w:rPr>
        <w:t>Правительства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РеспубликиТыва№ </w:t>
      </w:r>
      <w:r>
        <w:rPr>
          <w:rFonts w:ascii="Times New Roman" w:hAnsi="Times New Roman" w:cs="Times New Roman"/>
          <w:sz w:val="28"/>
          <w:szCs w:val="28"/>
        </w:rPr>
        <w:t xml:space="preserve">300-p 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09.06.2025</w:t>
      </w:r>
      <w:r>
        <w:rPr>
          <w:rFonts w:ascii="Times New Roman" w:hAnsi="Times New Roman" w:cs="Times New Roman"/>
          <w:color w:val="080808"/>
          <w:sz w:val="28"/>
          <w:szCs w:val="28"/>
        </w:rPr>
        <w:t xml:space="preserve">года.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период проведения месячника 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снижения задолженности и уплаты </w:t>
      </w:r>
      <w:r>
        <w:rPr>
          <w:rFonts w:ascii="Times New Roman" w:hAnsi="Times New Roman" w:cs="Times New Roman"/>
          <w:color w:val="0E0E0E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текущим </w:t>
      </w:r>
      <w:r>
        <w:rPr>
          <w:rFonts w:ascii="Times New Roman" w:hAnsi="Times New Roman" w:cs="Times New Roman"/>
          <w:color w:val="080808"/>
          <w:sz w:val="28"/>
          <w:szCs w:val="28"/>
        </w:rPr>
        <w:t xml:space="preserve">платежам </w:t>
      </w:r>
      <w:r>
        <w:rPr>
          <w:rFonts w:ascii="Times New Roman" w:hAnsi="Times New Roman" w:cs="Times New Roman"/>
          <w:color w:val="0E0E0E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имущественным налогам физических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лиц был </w:t>
      </w:r>
      <w:r>
        <w:rPr>
          <w:rFonts w:ascii="Times New Roman" w:hAnsi="Times New Roman" w:cs="Times New Roman"/>
          <w:sz w:val="28"/>
          <w:szCs w:val="28"/>
        </w:rPr>
        <w:t xml:space="preserve">утверждён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график </w:t>
      </w:r>
      <w:r>
        <w:rPr>
          <w:rFonts w:ascii="Times New Roman" w:hAnsi="Times New Roman" w:cs="Times New Roman"/>
          <w:sz w:val="28"/>
          <w:szCs w:val="28"/>
        </w:rPr>
        <w:t xml:space="preserve">рейдовых мероприятий, на основании </w:t>
      </w:r>
      <w:r>
        <w:rPr>
          <w:rFonts w:ascii="Times New Roman" w:hAnsi="Times New Roman" w:cs="Times New Roman"/>
          <w:color w:val="0C0C0C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>проведенаработа</w:t>
      </w:r>
      <w:r>
        <w:rPr>
          <w:rFonts w:ascii="Times New Roman" w:hAnsi="Times New Roman" w:cs="Times New Roman"/>
          <w:color w:val="1C1C1C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уплате</w:t>
      </w:r>
      <w:r>
        <w:rPr>
          <w:rFonts w:ascii="Times New Roman" w:hAnsi="Times New Roman" w:cs="Times New Roman"/>
          <w:color w:val="0F0F0F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снижениюзадолженностиимущественных налогов физических лиц, </w:t>
      </w:r>
      <w:r>
        <w:rPr>
          <w:rFonts w:ascii="Times New Roman" w:hAnsi="Times New Roman" w:cs="Times New Roman"/>
          <w:color w:val="080808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также для снижения задолженности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поступления текущих платежей </w:t>
      </w:r>
      <w:r>
        <w:rPr>
          <w:rFonts w:ascii="Times New Roman" w:hAnsi="Times New Roman" w:cs="Times New Roman"/>
          <w:color w:val="0F0F0F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имущественным налогам физических лиц 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во </w:t>
      </w:r>
      <w:r>
        <w:rPr>
          <w:rFonts w:ascii="Times New Roman" w:hAnsi="Times New Roman" w:cs="Times New Roman"/>
          <w:sz w:val="28"/>
          <w:szCs w:val="28"/>
        </w:rPr>
        <w:t xml:space="preserve">всех муниципальных образованиях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проводились совещания </w:t>
      </w:r>
      <w:r>
        <w:rPr>
          <w:rFonts w:ascii="Times New Roman" w:hAnsi="Times New Roman" w:cs="Times New Roman"/>
          <w:color w:val="161616"/>
          <w:spacing w:val="-4"/>
          <w:sz w:val="28"/>
          <w:szCs w:val="28"/>
        </w:rPr>
        <w:t xml:space="preserve">по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уплате  задолженности. </w:t>
      </w:r>
      <w:r>
        <w:rPr>
          <w:rFonts w:ascii="Times New Roman" w:hAnsi="Times New Roman" w:cs="Times New Roman"/>
          <w:b/>
          <w:bCs/>
          <w:color w:val="131313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увеличение </w:t>
      </w:r>
      <w:r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поступлений 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имущественных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налогов физических лиц </w:t>
      </w:r>
      <w:r>
        <w:rPr>
          <w:rFonts w:ascii="Times New Roman" w:hAnsi="Times New Roman" w:cs="Times New Roman"/>
          <w:b/>
          <w:bCs/>
          <w:color w:val="0F0F0F"/>
          <w:sz w:val="28"/>
          <w:szCs w:val="28"/>
        </w:rPr>
        <w:t xml:space="preserve">послужили 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b/>
          <w:bCs/>
          <w:color w:val="0F0F0F"/>
          <w:sz w:val="28"/>
          <w:szCs w:val="28"/>
        </w:rPr>
        <w:t>факторы:</w:t>
      </w:r>
    </w:p>
    <w:p w14:paraId="701FC708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-Ведение информационно-разъяснительных работ </w:t>
      </w:r>
      <w:r>
        <w:rPr>
          <w:rFonts w:ascii="Times New Roman" w:hAnsi="Times New Roman" w:cs="Times New Roman"/>
          <w:color w:val="131313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части уплаты имущественных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налогов </w:t>
      </w:r>
      <w:r>
        <w:rPr>
          <w:rFonts w:ascii="Times New Roman" w:hAnsi="Times New Roman" w:cs="Times New Roman"/>
          <w:sz w:val="28"/>
          <w:szCs w:val="28"/>
        </w:rPr>
        <w:t xml:space="preserve">физических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лиц 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социальных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сетях </w:t>
      </w:r>
      <w:r>
        <w:rPr>
          <w:rFonts w:ascii="Times New Roman" w:hAnsi="Times New Roman" w:cs="Times New Roman"/>
          <w:color w:val="1D1D1D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мессенджерах в </w:t>
      </w:r>
      <w:r>
        <w:rPr>
          <w:rFonts w:ascii="Times New Roman" w:hAnsi="Times New Roman" w:cs="Times New Roman"/>
          <w:spacing w:val="-2"/>
          <w:sz w:val="28"/>
          <w:szCs w:val="28"/>
        </w:rPr>
        <w:t>информационно-телекоммуникационной сети Интернет;</w:t>
      </w:r>
    </w:p>
    <w:p w14:paraId="5CD7726D">
      <w:pPr>
        <w:pStyle w:val="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Основную долю </w:t>
      </w:r>
      <w:r>
        <w:rPr>
          <w:rFonts w:ascii="Times New Roman" w:hAnsi="Times New Roman" w:cs="Times New Roman"/>
          <w:b/>
          <w:sz w:val="28"/>
          <w:szCs w:val="28"/>
        </w:rPr>
        <w:t>недоимки</w:t>
      </w:r>
      <w:r>
        <w:rPr>
          <w:rFonts w:ascii="Times New Roman" w:hAnsi="Times New Roman" w:cs="Times New Roman"/>
          <w:sz w:val="28"/>
          <w:szCs w:val="28"/>
        </w:rPr>
        <w:t xml:space="preserve"> в местного бюджета составляют имущественные налоги. Причина образования недоимки связано с неуплатой налогов физическими лицами в установленные законодательством сроки, а также более 5 процентов задолженности относиться к категории малоимущих граждан, данная задолженность накапливается из года год.</w:t>
      </w:r>
    </w:p>
    <w:p w14:paraId="5044A466">
      <w:pPr>
        <w:pStyle w:val="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8A671E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Проводятся мероприятия по погашению задолженности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1FCDDF0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</w:p>
    <w:p w14:paraId="4E203BD3">
      <w:pPr>
        <w:pStyle w:val="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в сельских поселениях ежедневно сборщиками налогов проводится подворный обход граждан;</w:t>
      </w:r>
    </w:p>
    <w:p w14:paraId="3A762B15">
      <w:pPr>
        <w:pStyle w:val="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 руководителям предприятий организаций и учреждений бюджетной сферы предоставляются списки не уплаченных налогов работающего населения, которые проводят работу с работниками по уплате задолженности и текущих налогов за 2024 год;</w:t>
      </w:r>
    </w:p>
    <w:p w14:paraId="58FA85BD">
      <w:pPr>
        <w:pStyle w:val="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еженедельно проводится мониторинг по снижению задолженности и на аппаратном совещании заслушивают работу председателей сельских поселений по её снижению.</w:t>
      </w:r>
    </w:p>
    <w:p w14:paraId="350EA90F">
      <w:pPr>
        <w:spacing w:after="0"/>
        <w:ind w:firstLine="567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14:paraId="423DF4FD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>РАСХОДЫ</w:t>
      </w:r>
    </w:p>
    <w:p w14:paraId="167B5A24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</w:p>
    <w:p w14:paraId="7183AF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 первое полугодие текущего финансового года консолидированный бюджет муниципального района «Сут-Хольский кожуун Республики Тыва» исполнен по расходам в размере 495632,0 тыс.руб., с учетом бюджетного кредита в размере – 12378,2 тыс.руб. из них на:</w:t>
      </w:r>
    </w:p>
    <w:p w14:paraId="049F4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фонд оплаты труда направлено – 439510,0 тыс.руб., что составляет 89% от общего объема расходов;</w:t>
      </w:r>
    </w:p>
    <w:p w14:paraId="254CA3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коммунальные услуги -  14264,0 тыс.руб., что составляет 3 % от общего объема расходов;</w:t>
      </w:r>
    </w:p>
    <w:p w14:paraId="276D51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социальное расходы – 19825,0 тыс.руб., что составляет 4 % от общего объема расходов;</w:t>
      </w:r>
    </w:p>
    <w:p w14:paraId="16C4BF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дорожный фонд – 5857,0 тыс.руб., что составляет 1 5 от общего объема расходов;</w:t>
      </w:r>
    </w:p>
    <w:p w14:paraId="0B8859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межбюджетные трансферты - 18859,0 тыс.руб., что составляет 3 % от общего объема расходов;</w:t>
      </w:r>
    </w:p>
    <w:p w14:paraId="3C3987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муниципальные программы – 2683,0 тыс.руб., что составляет 0,6% от общего объема расходов;</w:t>
      </w:r>
    </w:p>
    <w:p w14:paraId="68425E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Исполнение коммунальных услуг за 1 полугодие составило – 11842,69055 тыс.руб, из них за счет субсидии на долевое финансирование коммунальных услуг – 8432,90471 тыс.руб., за счет налоговых и неналоговых поступлений – 3409,78584 тыс.руб. Также на закупку и доставку каменного угля бюджетных и казенных учреждений, расположенных в  труднодоступных населенных пунктах исполнено – 2421,74190 тыс.руб, из них за счет субсидии – 1785,35960 тыс.руб, за счет налоговых и неналоговых поступлений – 636,38230 тыс.руб. при уточненном плане – 3389,414 тыс.руб.</w:t>
      </w:r>
    </w:p>
    <w:p w14:paraId="7D6DF8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 заработной плате за 7 (семь) месяцев текущего финансового года за счет налоговых и неналоговых поступлений бюджета муниципального района «Сут-Хольский кожуун Республики Тыва» было направлено – 15922,0 тыс.руб. при общем годовом плане 20825,0 тыс.руб, что составляет 76% от общего годового плана.</w:t>
      </w:r>
    </w:p>
    <w:p w14:paraId="706058D0">
      <w:pPr>
        <w:pStyle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8743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расходов по 01 разделу за первое полугодие текущего финансового года составило 47498,0 тыс.руб. , в том числе на оплату труда с начислениями – 43914,0 тыс.руб., иные выплаты – 60,0 тыс.руб и на прочие расходы – 3584,0 тыс.руб.</w:t>
      </w:r>
    </w:p>
    <w:p w14:paraId="71E1EE68">
      <w:pPr>
        <w:pStyle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НАЦИОНАЛЬНАЯ ОБОРОНА.</w:t>
      </w:r>
    </w:p>
    <w:p w14:paraId="545AEF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расходов по 02 разделу составило 1782,473 тыс.руб. при плане 4197,300 тыс. руб. (42% исп). За счет субвенции на осуществление первичного воинского учета, где отсутствуют военные комиссариаты на фонд оплаты труда израсходовано – 1782,473 тыс.руб. при плане 4109,560 тыс.руб., (43%исп), а на прочие расходы виды расходов составило – 0 тыс.руб. при плане – 87,740 тыс.руб.</w:t>
      </w:r>
    </w:p>
    <w:p w14:paraId="1D98699B">
      <w:pPr>
        <w:pStyle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ПРАВООХРАНИТЕЛЬНАЯ ДЕЯТЕЛЬНОСТЬ.</w:t>
      </w:r>
    </w:p>
    <w:p w14:paraId="14303B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утвержденных плановых показателей по 03 разделу составляет 3052,0 тыс.руб, из них на фонд оплаты труда – выделено – 1998,0 тыс.руб (65% от общего плана).  За семь месяцев текущего финансового года общий объем расходов исполнен в размере – 1064,17308 тыс.руб., (исп 35% от общего плана), из них на оплату труда – 1024,271 тыс.руб. и оплату услуг связи – 29,90208 тыс.руб.</w:t>
      </w:r>
    </w:p>
    <w:p w14:paraId="713C3578">
      <w:pPr>
        <w:pStyle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НАЦИОНАЛЬНАЯ ЭКОНОМИКА.</w:t>
      </w:r>
    </w:p>
    <w:p w14:paraId="42C599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разделу «Национальная экономика» общий объем расходов за 1 полугодие текущего финансового года составило – 4288,88928 тыс.руб. (исп 54% от плана), при плане – 7938,264 тыс.руб. На фонд оплаты труда выделено – 4386,00 тыс.руб., из них на оплату труда – 3369,0 тыс.руб, начисления на оплату труда – 1017,0 тыс.руб. За январь – июнь месяцы 2025 год на фонд оплаты труда израсходовано – 3738,60607 тыс.руб. (исп 85%).  На оплату прочих расходов израсходовано – 550,28321 тыс.руб. при плане – 3552,264 тыс.руб.</w:t>
      </w:r>
    </w:p>
    <w:p w14:paraId="6609FBC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дорожному фонду за семь месяцев текущего финансового года общий объем израсходованных денежных средств составило – 5856,800 тыс.руб. при плане 15914,0 тыс.руб. (исп 37% от плана). Данные целевые средства направлены на оплату муниципального контракта от 31.08.2024 года в сумме 9776,480 тыс.руб. предметом настоящего контракт является ремонт проезжей части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улицы Чогаалчылар с. Суг-Аксы, Сут-Хольского кожууна общей протяженностью 250 метров, с примыканием на ул. Механизация (100м), и парковкой размером 5х30 метров. </w:t>
      </w:r>
    </w:p>
    <w:p w14:paraId="0D072314">
      <w:pPr>
        <w:pStyle w:val="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ЖИЛИЩНО-КОММУНАЛЬНОЕ ХОЗЯЙСТВО</w:t>
      </w:r>
    </w:p>
    <w:p w14:paraId="4292C89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разделу 0500 утвержденный план за 1 полугодие текущего финансового года составляет 5711,451 тыс.руб., где исполнение составляет 1038,472 тыс.руб. В данном разделе учитываются субсидии на реализацию государственной программы Республики Тыва «Формирование современной городской среды» в сумме 458,700 тыс.руб. при плане 1529,0 тыс.руб., также иной межбюджетный трансферт на финансовое обеспечение расходов, связанных с премированием победителей республиканского конкурса среди населенных пунктов Республики Тыва «Трезвое село».</w:t>
      </w:r>
    </w:p>
    <w:p w14:paraId="18F7C376">
      <w:pPr>
        <w:pStyle w:val="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ОХРАНА ОКУРЖАЮЩЕЙ СРЕДЫ</w:t>
      </w:r>
    </w:p>
    <w:p w14:paraId="57202EE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данному разделу общий план бюджетных ассигнований составляет – 5541,0 тыс.руб., из них на ликвидацию несанкционированной свалки выделено – 5000,0 тыс.руб. и 541,0 тыс.руб. на экологический фонд. Исполнение по данному разделу за 1 полугодие текущего финансового года  - нулевое. </w:t>
      </w:r>
    </w:p>
    <w:p w14:paraId="1C4A9562">
      <w:pPr>
        <w:pStyle w:val="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ОБРАЗОВАНИЕ</w:t>
      </w:r>
    </w:p>
    <w:p w14:paraId="74FA11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разделу образование исполнение за 7 (семь) месяцев 2025 год составляет – 368657,0 тыс.руб., из них:</w:t>
      </w:r>
    </w:p>
    <w:p w14:paraId="2B2CB8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на общеобразовательные учреждения – 243048,0 тыс.руб., в том числе фонд заработной платы за счет субвенции – 206132,0 тыс.руб, денежное вознаграждение за классное руководство – 20448,0 тыс.руб., обеспечение деятельности советникам директоров – 1437,0 тыс.руб, денежное вознаграждение за обеспечение деятельности советникам директоров за иные межбюджетные трансферты – 637,0 тыс.руб., субсидия на организацию бесплатного горячего питания – 3215,0 тыс.руб., учебные расходы – 1389,0 тыс.руб.  и на прочие расходы – 9790,0 тыс.руб.</w:t>
      </w:r>
    </w:p>
    <w:p w14:paraId="53087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дошкольные учреждения – 91800,0 тыс.руб., в том числе фонд заработной платы – 88466,0 тыс.руб, обеспечение питанием  - 90,0 тыс.руб, уплата налогов – 43,0 тыс.руб., коммунальные услуги – 2370,0 и на прочие расходы – 831,0 тыс.руб. </w:t>
      </w:r>
    </w:p>
    <w:p w14:paraId="433C69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учреждения дополнительного образования – 13578 тыс.руб. </w:t>
      </w:r>
    </w:p>
    <w:p w14:paraId="7DD43C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прочие учреждения образования – 18909,0 тыс.руб.</w:t>
      </w:r>
    </w:p>
    <w:p w14:paraId="795C31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комиссия по делам несовершеннолетних – 510,0 тыс.руб.</w:t>
      </w:r>
    </w:p>
    <w:p w14:paraId="4A081F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-субвенция местным бюджетам на содержание специалистов, осуществляющих переданные полномочия – 812,0 тыс.руб. </w:t>
      </w:r>
    </w:p>
    <w:p w14:paraId="02B72110">
      <w:pPr>
        <w:pStyle w:val="4"/>
        <w:rPr>
          <w:rFonts w:ascii="Times New Roman" w:hAnsi="Times New Roman" w:cs="Times New Roman"/>
          <w:b/>
          <w:sz w:val="28"/>
          <w:szCs w:val="28"/>
        </w:rPr>
      </w:pPr>
    </w:p>
    <w:p w14:paraId="5AEA7110">
      <w:pPr>
        <w:pStyle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КУЛЬТУРА</w:t>
      </w:r>
    </w:p>
    <w:p w14:paraId="01D84B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 полугодие текущего финансового года общий объем исполненных денежных средств по разделу «Культура» составляет – 42589,47157 тыс.руб. при годовом плане 61797,292 тыс.руб. (исп 69% от общ плана). Данные средства были направлены на фонд оплаты труда в размере – 39818,74947 тыс.руб., на исполнение муниципальной программы «Народное творчество» - 31,500 тыс.руб. при плане 700,0 тыс.руб., на уплату налогов – 190,998 тыс.руб. и на прочие расходы – 2548,22410 тыс.руб.</w:t>
      </w:r>
    </w:p>
    <w:p w14:paraId="26703CBA">
      <w:pPr>
        <w:pStyle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ЗДРАВООХРАНЕНИЕ</w:t>
      </w:r>
    </w:p>
    <w:p w14:paraId="42C96B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разделу «Здравоохранение» общий объем годового плана составляет – 314,0 тыс.руб. Данные денежные средства выделены на оплату медицинских услуг по медицинскому освидетельствованию, медицинских осмотров и оплата услуг дезинфекции.</w:t>
      </w:r>
    </w:p>
    <w:p w14:paraId="021187C9">
      <w:pPr>
        <w:pStyle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</w:p>
    <w:p w14:paraId="00E78B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социальная политика основными расходами являются социальное обеспечение и иные выплаты населению и фонд оплаты труда. </w:t>
      </w:r>
    </w:p>
    <w:p w14:paraId="7E2131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1 полугодие текущего финансового года на фонд оплаты труда направлены денежные средства в размере – 2773,0 тыс.руб, при годовом плане – 5383,0 тыс.руб. </w:t>
      </w:r>
    </w:p>
    <w:p w14:paraId="670385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социальным выплатам населению имеются ряд выплат, которые подразделяются на следующие виды:</w:t>
      </w:r>
    </w:p>
    <w:p w14:paraId="4A83C4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социальная поддержка ветеранов труда и тружеников тыла – 1952,0 тыс.руб.</w:t>
      </w:r>
    </w:p>
    <w:p w14:paraId="3F862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пособие на погребение – 41,0 тыс.руб</w:t>
      </w:r>
    </w:p>
    <w:p w14:paraId="52F82C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оплата льгот отдельным категориям граждан – 2350,0 тыс.руб.</w:t>
      </w:r>
    </w:p>
    <w:p w14:paraId="6E9D57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жилищные субсидии – 885,0 тыс.руб.</w:t>
      </w:r>
    </w:p>
    <w:p w14:paraId="40BB06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ежемесячное пособие на ребенка – 1,0 тыс.руб</w:t>
      </w:r>
    </w:p>
    <w:p w14:paraId="546A8C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субвенции местным бюджетам на содержание детей в семьях опекунов, причитающегося приемным родителям – 397,0 тыс.руб.</w:t>
      </w:r>
    </w:p>
    <w:p w14:paraId="288F8D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субвенции местным бюджетам на содержание детей в семьях опекунов – 2124,00 тыс.руб.</w:t>
      </w:r>
    </w:p>
    <w:p w14:paraId="1F096C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субсидии на осуществление ежемесячных выплат, в связи с рождением 3 и последующего детей – 3010,0 тыс.руб.</w:t>
      </w:r>
    </w:p>
    <w:p w14:paraId="33A888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осуществлены выплаты на реализацию мероприятий по обеспечению жильем молодых семей – 5071,0 тыс.руб и субсидия по государственной программе Республики Тыва «Комплексное развитие сельских территорий» на строительство (приобретение) жилья граждан, проживающих в сельских территориях на постоянной основе.</w:t>
      </w:r>
    </w:p>
    <w:p w14:paraId="39C02C76">
      <w:pPr>
        <w:pStyle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ФИЗКУЛЬТУРА И СПОРТ</w:t>
      </w:r>
    </w:p>
    <w:p w14:paraId="5DB54B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семь месяцев текущего финансового года на оплату расходов по данному разделу израсходовано – 294,499 тыс.руб., при годовом плане 549,285 тыс.руб. (исп 54% от общ плана). В данном разделе учитываются расходы только за счет налоговых и неналоговых поступлений бюджета муниципального района «Сут-Хольский кожуун Республики Тыва» и выделены они на оплату иных выплат физическим лицам, на приобретение (изготовление) специальной продукции и на оплату горюче-смазочного материала. </w:t>
      </w:r>
    </w:p>
    <w:p w14:paraId="18752015">
      <w:pPr>
        <w:pStyle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СРЕДСТВА МАССОВОЙ ИНФОРМАЦИИ</w:t>
      </w:r>
    </w:p>
    <w:p w14:paraId="4B28BC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12 разделу за первое полугодие 2025 года исполнено – 203,92001 тыс.руб., из них на фонд заработной платы – 203,92001 тыс.руб. Общий годовой план составляет – 800,0 тыс.руб, из них на фонд заработной платы выделено – 600,0 тыс.руб, а остальные 200,0 тыс.руб. – на оплату услуг печатных изданий. </w:t>
      </w:r>
    </w:p>
    <w:p w14:paraId="7BA62FB5">
      <w:pPr>
        <w:pStyle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ОБСЛУЖИВАНИЕ МУНИЦИПАЛЬНОГО ДОЛГА</w:t>
      </w:r>
    </w:p>
    <w:p w14:paraId="45CDC8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разделу выделено – 10,0 тыс.руб. на обслуживание муниципального долга и исполнение за 7 месяцев текущего года составляет – 0,0 тыс.руб.</w:t>
      </w:r>
    </w:p>
    <w:p w14:paraId="7F3B917D">
      <w:pPr>
        <w:pStyle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МЕЖБЮДЖЕТНЫЕ ТРАНСФЕРТЫ</w:t>
      </w:r>
    </w:p>
    <w:p w14:paraId="1B009D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семь месяцев текущего года по данному разделу исполнено – 18858,79085 тыс.руб. при годовом плане  - 31728,264 тыс.руб. В дном разделе отражены расходы за семь месяцев на оплату труда за счет дотации на выравнивание бюджетной обеспеченности – 11390,513 тыс.руб, субвенции из республиканского бюджета сельским поселениям – 4447,057 тыс.руб., бюджетный кредит на оплату задолженности по страховым взносам – 1891,86677,  коммунальные услуги – 664,78408 тыс.руб., иные межбюджетные трансферты на финансовое обеспечение расходов победителей республиканского конкурса среди сельских населенных пунктов Республики Тыва «Трезвое село» и собственные доходы сельских поселений – 264,570 тыс.руб.</w:t>
      </w:r>
    </w:p>
    <w:p w14:paraId="29410F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 основании изложенных доходов и расходов бюджета муниципального района «Сут-Хольский кожуун Республики Тыва» за 1 полугодие текущего без учета бюджетного кредита года является профицитным на 5334,79028 тыс.руб., в связи с наличием остатка по дорожному фонду – 4895,64923 тыс.руб., иных межбюджетных трансфертов – 439,14105 тыс.руб.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158"/>
    <w:rsid w:val="00042B11"/>
    <w:rsid w:val="000D79AB"/>
    <w:rsid w:val="00124601"/>
    <w:rsid w:val="001714FE"/>
    <w:rsid w:val="002369D2"/>
    <w:rsid w:val="002D35FE"/>
    <w:rsid w:val="002E3819"/>
    <w:rsid w:val="003B059E"/>
    <w:rsid w:val="003B45D7"/>
    <w:rsid w:val="00434C2F"/>
    <w:rsid w:val="004C447B"/>
    <w:rsid w:val="00515DFC"/>
    <w:rsid w:val="00524B96"/>
    <w:rsid w:val="00571062"/>
    <w:rsid w:val="00583B9C"/>
    <w:rsid w:val="00597724"/>
    <w:rsid w:val="005A2CB2"/>
    <w:rsid w:val="005F60B8"/>
    <w:rsid w:val="00624F0C"/>
    <w:rsid w:val="006F3B2B"/>
    <w:rsid w:val="007617D6"/>
    <w:rsid w:val="00784283"/>
    <w:rsid w:val="007B7158"/>
    <w:rsid w:val="007D5ABF"/>
    <w:rsid w:val="007F0B4C"/>
    <w:rsid w:val="00810ADD"/>
    <w:rsid w:val="00816E47"/>
    <w:rsid w:val="008F0F13"/>
    <w:rsid w:val="00957662"/>
    <w:rsid w:val="009820CC"/>
    <w:rsid w:val="00991C80"/>
    <w:rsid w:val="009D0D2C"/>
    <w:rsid w:val="009F683F"/>
    <w:rsid w:val="00AF4F7A"/>
    <w:rsid w:val="00B001C6"/>
    <w:rsid w:val="00B118F8"/>
    <w:rsid w:val="00B36614"/>
    <w:rsid w:val="00B77106"/>
    <w:rsid w:val="00BC15EF"/>
    <w:rsid w:val="00D25631"/>
    <w:rsid w:val="00D71E2A"/>
    <w:rsid w:val="00D92CCD"/>
    <w:rsid w:val="00DC6EED"/>
    <w:rsid w:val="00E2127E"/>
    <w:rsid w:val="00EA0CEC"/>
    <w:rsid w:val="00F4740E"/>
    <w:rsid w:val="00FA665F"/>
    <w:rsid w:val="00FC0B5B"/>
    <w:rsid w:val="00FC4C58"/>
    <w:rsid w:val="41DB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link w:val="5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5">
    <w:name w:val="Без интервала Знак"/>
    <w:link w:val="4"/>
    <w:locked/>
    <w:uiPriority w:val="1"/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10</Pages>
  <Words>3024</Words>
  <Characters>17242</Characters>
  <Lines>143</Lines>
  <Paragraphs>40</Paragraphs>
  <TotalTime>346</TotalTime>
  <ScaleCrop>false</ScaleCrop>
  <LinksUpToDate>false</LinksUpToDate>
  <CharactersWithSpaces>20226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2025-09-02T10:01:00Z</dcterms:created>
  <dc:creator>Work</dc:creator>
  <cp:lastModifiedBy>2023</cp:lastModifiedBy>
  <cp:lastPrinted>2025-09-02T16:32:00Z</cp:lastPrinted>
  <dcterms:modified xsi:type="dcterms:W3CDTF">2025-09-11T02:39:38Z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D405C59290604A8F8F4BEB76490116DD_13</vt:lpwstr>
  </property>
</Properties>
</file>